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7CB" w:rsidRDefault="005567CB" w:rsidP="005567CB">
      <w:pPr>
        <w:tabs>
          <w:tab w:val="center" w:pos="4536"/>
          <w:tab w:val="right" w:pos="9072"/>
        </w:tabs>
        <w:suppressAutoHyphens/>
        <w:jc w:val="center"/>
        <w:rPr>
          <w:b/>
          <w:sz w:val="32"/>
          <w:szCs w:val="32"/>
          <w:lang w:eastAsia="zh-CN"/>
        </w:rPr>
      </w:pPr>
    </w:p>
    <w:p w:rsidR="005567CB" w:rsidRPr="00B645EF" w:rsidRDefault="00855A3F" w:rsidP="00855A3F">
      <w:pPr>
        <w:tabs>
          <w:tab w:val="center" w:pos="4536"/>
          <w:tab w:val="right" w:pos="9072"/>
        </w:tabs>
        <w:suppressAutoHyphens/>
        <w:jc w:val="center"/>
        <w:rPr>
          <w:b/>
          <w:sz w:val="32"/>
          <w:szCs w:val="32"/>
          <w:lang w:eastAsia="zh-CN"/>
        </w:rPr>
      </w:pPr>
      <w:r>
        <w:rPr>
          <w:b/>
          <w:sz w:val="32"/>
          <w:szCs w:val="32"/>
        </w:rPr>
        <w:t>Tűzvizsgálati</w:t>
      </w:r>
      <w:r w:rsidR="00D13E4D" w:rsidRPr="00B645EF">
        <w:rPr>
          <w:b/>
          <w:sz w:val="32"/>
          <w:szCs w:val="32"/>
        </w:rPr>
        <w:t xml:space="preserve"> szakértői </w:t>
      </w:r>
      <w:r w:rsidR="005567CB" w:rsidRPr="00B645EF">
        <w:rPr>
          <w:b/>
          <w:sz w:val="32"/>
          <w:szCs w:val="32"/>
          <w:lang w:eastAsia="zh-CN"/>
        </w:rPr>
        <w:t>vizsga</w:t>
      </w:r>
    </w:p>
    <w:p w:rsidR="005567CB" w:rsidRDefault="005567CB" w:rsidP="005567CB">
      <w:pPr>
        <w:tabs>
          <w:tab w:val="center" w:pos="4536"/>
          <w:tab w:val="right" w:pos="9072"/>
        </w:tabs>
        <w:suppressAutoHyphens/>
        <w:jc w:val="center"/>
        <w:rPr>
          <w:b/>
          <w:sz w:val="32"/>
          <w:szCs w:val="32"/>
          <w:lang w:eastAsia="zh-CN"/>
        </w:rPr>
      </w:pPr>
    </w:p>
    <w:p w:rsidR="00425110" w:rsidRDefault="00B645EF" w:rsidP="00B645EF">
      <w:pPr>
        <w:suppressAutoHyphens/>
        <w:jc w:val="both"/>
      </w:pPr>
      <w:r w:rsidRPr="006A7BE7">
        <w:rPr>
          <w:rStyle w:val="Kiemels2"/>
          <w:b w:val="0"/>
          <w:bCs w:val="0"/>
        </w:rPr>
        <w:t xml:space="preserve">A vizsga </w:t>
      </w:r>
      <w:r>
        <w:rPr>
          <w:rStyle w:val="Kiemels2"/>
          <w:b w:val="0"/>
          <w:bCs w:val="0"/>
        </w:rPr>
        <w:t xml:space="preserve">alapesetben </w:t>
      </w:r>
      <w:r w:rsidRPr="006A7BE7">
        <w:rPr>
          <w:rStyle w:val="Kiemels2"/>
          <w:b w:val="0"/>
          <w:bCs w:val="0"/>
        </w:rPr>
        <w:t>írásbeli</w:t>
      </w:r>
      <w:r>
        <w:rPr>
          <w:rStyle w:val="Kiemels2"/>
          <w:b w:val="0"/>
          <w:bCs w:val="0"/>
        </w:rPr>
        <w:t xml:space="preserve">, abban az </w:t>
      </w:r>
      <w:r w:rsidR="00DD57BB">
        <w:rPr>
          <w:rStyle w:val="Kiemels2"/>
          <w:b w:val="0"/>
          <w:bCs w:val="0"/>
        </w:rPr>
        <w:t>esetben,</w:t>
      </w:r>
      <w:r>
        <w:rPr>
          <w:rStyle w:val="Kiemels2"/>
          <w:b w:val="0"/>
          <w:bCs w:val="0"/>
        </w:rPr>
        <w:t xml:space="preserve"> </w:t>
      </w:r>
      <w:r w:rsidRPr="00F81F8F">
        <w:rPr>
          <w:rStyle w:val="Kiemels2"/>
          <w:b w:val="0"/>
          <w:bCs w:val="0"/>
        </w:rPr>
        <w:t xml:space="preserve">ha </w:t>
      </w:r>
      <w:r w:rsidRPr="00F32DA3">
        <w:rPr>
          <w:rStyle w:val="Kiemels2"/>
          <w:b w:val="0"/>
          <w:bCs w:val="0"/>
        </w:rPr>
        <w:t>80%-ot</w:t>
      </w:r>
      <w:r w:rsidRPr="00F81F8F">
        <w:rPr>
          <w:rStyle w:val="Kiemels2"/>
          <w:b w:val="0"/>
          <w:bCs w:val="0"/>
        </w:rPr>
        <w:t xml:space="preserve"> ér el a feltett kérdésekre adott válaszok tekintetében a vizsga sikeresen zárul. </w:t>
      </w:r>
      <w:r w:rsidR="00DD57BB" w:rsidRPr="00F81F8F">
        <w:rPr>
          <w:rStyle w:val="Kiemels2"/>
          <w:b w:val="0"/>
          <w:bCs w:val="0"/>
        </w:rPr>
        <w:t>Akkor,</w:t>
      </w:r>
      <w:r w:rsidRPr="00F81F8F">
        <w:rPr>
          <w:rStyle w:val="Kiemels2"/>
          <w:b w:val="0"/>
          <w:bCs w:val="0"/>
        </w:rPr>
        <w:t xml:space="preserve"> ha</w:t>
      </w:r>
      <w:r w:rsidRPr="00F81F8F">
        <w:t xml:space="preserve"> a vizsgázó eredménye elérte vagy meghaladta a </w:t>
      </w:r>
      <w:r w:rsidRPr="00F32DA3">
        <w:t>60 %-</w:t>
      </w:r>
      <w:r w:rsidRPr="00F81F8F">
        <w:t>ot, de nem érte el a 80 %-ot, kiegészítő szóbeli vizsgát kell tennie a vizsgabizottság előtt.</w:t>
      </w:r>
      <w:r>
        <w:t xml:space="preserve"> </w:t>
      </w:r>
    </w:p>
    <w:p w:rsidR="00425110" w:rsidRPr="006A7BE7" w:rsidRDefault="00425110" w:rsidP="00425110">
      <w:pPr>
        <w:pStyle w:val="Listaszerbekezds"/>
        <w:ind w:left="0"/>
        <w:jc w:val="both"/>
        <w:rPr>
          <w:rStyle w:val="Kiemels2"/>
          <w:b w:val="0"/>
          <w:bCs w:val="0"/>
          <w:szCs w:val="24"/>
        </w:rPr>
      </w:pPr>
    </w:p>
    <w:p w:rsidR="00425110" w:rsidRDefault="00425110" w:rsidP="00425110">
      <w:pPr>
        <w:jc w:val="both"/>
      </w:pPr>
      <w:r w:rsidRPr="00425110">
        <w:t>Szóbeli vizsgán a vizsgabizottsági tagok legalább 2-2 kérdést tesznek fel a vizsgázónak, majd a helyes válaszok arányá</w:t>
      </w:r>
      <w:r w:rsidR="004F1725">
        <w:t>ban</w:t>
      </w:r>
      <w:r w:rsidRPr="00425110">
        <w:t xml:space="preserve"> döntenek a vizsga megfelelőségéről. Amennyiben a kérdésekre adott válaszok azonos arányban helyesek és helytelenek, a vizsgabizottság elnöke dönt a vizsga megfelelőségéről. </w:t>
      </w:r>
    </w:p>
    <w:p w:rsidR="00425110" w:rsidRDefault="00425110" w:rsidP="00425110">
      <w:pPr>
        <w:jc w:val="both"/>
      </w:pPr>
    </w:p>
    <w:p w:rsidR="005567CB" w:rsidRDefault="00B645EF" w:rsidP="00F81F8F">
      <w:pPr>
        <w:keepNext/>
        <w:suppressAutoHyphens/>
        <w:spacing w:after="120"/>
        <w:jc w:val="both"/>
      </w:pPr>
      <w:r>
        <w:t>A</w:t>
      </w:r>
      <w:r w:rsidR="00855A3F">
        <w:t xml:space="preserve"> tűzvizsgálati</w:t>
      </w:r>
      <w:r>
        <w:t xml:space="preserve"> írásbeli vizsga témakörei: </w:t>
      </w:r>
    </w:p>
    <w:tbl>
      <w:tblPr>
        <w:tblStyle w:val="Rcsostblzat"/>
        <w:tblW w:w="4621" w:type="dxa"/>
        <w:jc w:val="center"/>
        <w:tblLook w:val="04A0" w:firstRow="1" w:lastRow="0" w:firstColumn="1" w:lastColumn="0" w:noHBand="0" w:noVBand="1"/>
      </w:tblPr>
      <w:tblGrid>
        <w:gridCol w:w="3378"/>
        <w:gridCol w:w="1243"/>
      </w:tblGrid>
      <w:tr w:rsidR="00FB2234" w:rsidRPr="00FB2234" w:rsidTr="00855A3F">
        <w:trPr>
          <w:jc w:val="center"/>
        </w:trPr>
        <w:tc>
          <w:tcPr>
            <w:tcW w:w="3378" w:type="dxa"/>
          </w:tcPr>
          <w:p w:rsidR="00FB2234" w:rsidRPr="00FB2234" w:rsidRDefault="00FB2234" w:rsidP="00FB2234">
            <w:pPr>
              <w:jc w:val="center"/>
              <w:rPr>
                <w:b/>
              </w:rPr>
            </w:pPr>
            <w:r w:rsidRPr="00FB2234">
              <w:rPr>
                <w:b/>
              </w:rPr>
              <w:t>Témakörök</w:t>
            </w: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:rsidR="00FB2234" w:rsidRPr="00FB2234" w:rsidRDefault="004F1725" w:rsidP="00FB2234">
            <w:pPr>
              <w:jc w:val="center"/>
            </w:pPr>
            <w:r>
              <w:t>Arány</w:t>
            </w:r>
          </w:p>
        </w:tc>
      </w:tr>
      <w:tr w:rsidR="00BD23B6" w:rsidRPr="00FB2234" w:rsidTr="00FC0DB1">
        <w:trPr>
          <w:jc w:val="center"/>
        </w:trPr>
        <w:tc>
          <w:tcPr>
            <w:tcW w:w="3378" w:type="dxa"/>
            <w:vAlign w:val="center"/>
          </w:tcPr>
          <w:p w:rsidR="00BD23B6" w:rsidRPr="00FB2234" w:rsidRDefault="00BD23B6" w:rsidP="00BD23B6">
            <w:r w:rsidRPr="00FB2234">
              <w:t>Jogszabály ismeretek:</w:t>
            </w:r>
          </w:p>
        </w:tc>
        <w:tc>
          <w:tcPr>
            <w:tcW w:w="1243" w:type="dxa"/>
          </w:tcPr>
          <w:p w:rsidR="00BD23B6" w:rsidRPr="00BD23B6" w:rsidRDefault="00BD23B6" w:rsidP="00ED7805">
            <w:pPr>
              <w:jc w:val="center"/>
            </w:pPr>
            <w:r>
              <w:t>~</w:t>
            </w:r>
            <w:r w:rsidRPr="00BD23B6">
              <w:t>8</w:t>
            </w:r>
            <w:r>
              <w:t xml:space="preserve"> %</w:t>
            </w:r>
          </w:p>
        </w:tc>
      </w:tr>
      <w:tr w:rsidR="00BD23B6" w:rsidRPr="00FB2234" w:rsidTr="00FC0DB1">
        <w:trPr>
          <w:jc w:val="center"/>
        </w:trPr>
        <w:tc>
          <w:tcPr>
            <w:tcW w:w="3378" w:type="dxa"/>
            <w:vAlign w:val="center"/>
          </w:tcPr>
          <w:p w:rsidR="00BD23B6" w:rsidRPr="00FB2234" w:rsidRDefault="00BD23B6" w:rsidP="00BD23B6">
            <w:r>
              <w:t>Anyagismeret</w:t>
            </w:r>
          </w:p>
        </w:tc>
        <w:tc>
          <w:tcPr>
            <w:tcW w:w="1243" w:type="dxa"/>
          </w:tcPr>
          <w:p w:rsidR="00BD23B6" w:rsidRPr="00BD23B6" w:rsidRDefault="00BD23B6" w:rsidP="00BD23B6">
            <w:pPr>
              <w:jc w:val="center"/>
            </w:pPr>
            <w:r>
              <w:t>~</w:t>
            </w:r>
            <w:r w:rsidRPr="00BD23B6">
              <w:t>11</w:t>
            </w:r>
            <w:r>
              <w:t xml:space="preserve"> %</w:t>
            </w:r>
          </w:p>
        </w:tc>
      </w:tr>
      <w:tr w:rsidR="00BD23B6" w:rsidRPr="00FB2234" w:rsidTr="00FC0DB1">
        <w:trPr>
          <w:jc w:val="center"/>
        </w:trPr>
        <w:tc>
          <w:tcPr>
            <w:tcW w:w="3378" w:type="dxa"/>
            <w:vAlign w:val="center"/>
          </w:tcPr>
          <w:p w:rsidR="00BD23B6" w:rsidRDefault="00BD23B6" w:rsidP="00BD23B6">
            <w:r>
              <w:t>Égéselmélet</w:t>
            </w:r>
          </w:p>
        </w:tc>
        <w:tc>
          <w:tcPr>
            <w:tcW w:w="1243" w:type="dxa"/>
          </w:tcPr>
          <w:p w:rsidR="00BD23B6" w:rsidRPr="00BD23B6" w:rsidRDefault="00BD23B6" w:rsidP="00BD23B6">
            <w:pPr>
              <w:jc w:val="center"/>
            </w:pPr>
            <w:r>
              <w:t>~</w:t>
            </w:r>
            <w:r w:rsidRPr="00BD23B6">
              <w:t>21</w:t>
            </w:r>
            <w:r>
              <w:t xml:space="preserve"> %</w:t>
            </w:r>
          </w:p>
        </w:tc>
      </w:tr>
      <w:tr w:rsidR="00BD23B6" w:rsidRPr="00FB2234" w:rsidTr="00FC0DB1">
        <w:trPr>
          <w:jc w:val="center"/>
        </w:trPr>
        <w:tc>
          <w:tcPr>
            <w:tcW w:w="3378" w:type="dxa"/>
            <w:vAlign w:val="center"/>
          </w:tcPr>
          <w:p w:rsidR="00BD23B6" w:rsidRDefault="00BD23B6" w:rsidP="00BD23B6">
            <w:r>
              <w:t>Égésnyomok</w:t>
            </w:r>
          </w:p>
        </w:tc>
        <w:tc>
          <w:tcPr>
            <w:tcW w:w="1243" w:type="dxa"/>
          </w:tcPr>
          <w:p w:rsidR="00BD23B6" w:rsidRPr="00BD23B6" w:rsidRDefault="00BD23B6" w:rsidP="00BD23B6">
            <w:pPr>
              <w:jc w:val="center"/>
            </w:pPr>
            <w:r>
              <w:t>~</w:t>
            </w:r>
            <w:r w:rsidRPr="00BD23B6">
              <w:t>16</w:t>
            </w:r>
            <w:r>
              <w:t xml:space="preserve"> %</w:t>
            </w:r>
          </w:p>
        </w:tc>
      </w:tr>
      <w:tr w:rsidR="00BD23B6" w:rsidRPr="00FB2234" w:rsidTr="00FC0DB1">
        <w:trPr>
          <w:jc w:val="center"/>
        </w:trPr>
        <w:tc>
          <w:tcPr>
            <w:tcW w:w="3378" w:type="dxa"/>
            <w:vAlign w:val="center"/>
          </w:tcPr>
          <w:p w:rsidR="00BD23B6" w:rsidRDefault="00BD23B6" w:rsidP="00BD23B6">
            <w:r>
              <w:t>Tűzvizsgálói gyakorlat</w:t>
            </w:r>
          </w:p>
        </w:tc>
        <w:tc>
          <w:tcPr>
            <w:tcW w:w="1243" w:type="dxa"/>
          </w:tcPr>
          <w:p w:rsidR="00BD23B6" w:rsidRPr="00BD23B6" w:rsidRDefault="00BD23B6" w:rsidP="00BD23B6">
            <w:pPr>
              <w:jc w:val="center"/>
            </w:pPr>
            <w:r>
              <w:t>~</w:t>
            </w:r>
            <w:r w:rsidRPr="00BD23B6">
              <w:t>23</w:t>
            </w:r>
            <w:r>
              <w:t xml:space="preserve"> %</w:t>
            </w:r>
          </w:p>
        </w:tc>
      </w:tr>
      <w:tr w:rsidR="00BD23B6" w:rsidRPr="00FB2234" w:rsidTr="00FC0DB1">
        <w:trPr>
          <w:jc w:val="center"/>
        </w:trPr>
        <w:tc>
          <w:tcPr>
            <w:tcW w:w="3378" w:type="dxa"/>
            <w:vAlign w:val="center"/>
          </w:tcPr>
          <w:p w:rsidR="00BD23B6" w:rsidRDefault="00BD23B6" w:rsidP="00BD23B6">
            <w:r>
              <w:t>Kriminalisztik</w:t>
            </w:r>
            <w:bookmarkStart w:id="0" w:name="_GoBack"/>
            <w:bookmarkEnd w:id="0"/>
            <w:r>
              <w:t>ai ismeretek</w:t>
            </w:r>
          </w:p>
        </w:tc>
        <w:tc>
          <w:tcPr>
            <w:tcW w:w="1243" w:type="dxa"/>
          </w:tcPr>
          <w:p w:rsidR="00BD23B6" w:rsidRPr="00BD23B6" w:rsidRDefault="00BD23B6" w:rsidP="00BD23B6">
            <w:pPr>
              <w:jc w:val="center"/>
            </w:pPr>
            <w:r>
              <w:t>~</w:t>
            </w:r>
            <w:r w:rsidRPr="00BD23B6">
              <w:t>12</w:t>
            </w:r>
            <w:r>
              <w:t xml:space="preserve"> %</w:t>
            </w:r>
          </w:p>
        </w:tc>
      </w:tr>
      <w:tr w:rsidR="00BD23B6" w:rsidRPr="00FB2234" w:rsidTr="00FC0DB1">
        <w:trPr>
          <w:jc w:val="center"/>
        </w:trPr>
        <w:tc>
          <w:tcPr>
            <w:tcW w:w="3378" w:type="dxa"/>
            <w:vAlign w:val="center"/>
          </w:tcPr>
          <w:p w:rsidR="00BD23B6" w:rsidRDefault="00BD23B6" w:rsidP="00BD23B6">
            <w:r>
              <w:t>Tűzvédelmi ismeretek</w:t>
            </w:r>
          </w:p>
        </w:tc>
        <w:tc>
          <w:tcPr>
            <w:tcW w:w="1243" w:type="dxa"/>
          </w:tcPr>
          <w:p w:rsidR="00BD23B6" w:rsidRPr="00BD23B6" w:rsidRDefault="00BD23B6" w:rsidP="00BD23B6">
            <w:pPr>
              <w:jc w:val="center"/>
            </w:pPr>
            <w:r>
              <w:t>~</w:t>
            </w:r>
            <w:r w:rsidRPr="00BD23B6">
              <w:t>9</w:t>
            </w:r>
            <w:r>
              <w:t xml:space="preserve"> %</w:t>
            </w:r>
          </w:p>
        </w:tc>
      </w:tr>
    </w:tbl>
    <w:p w:rsidR="00FB2234" w:rsidRDefault="00FB2234" w:rsidP="00BD23B6">
      <w:pPr>
        <w:spacing w:before="120"/>
        <w:jc w:val="center"/>
      </w:pPr>
      <w:r w:rsidRPr="00FB2234">
        <w:rPr>
          <w:sz w:val="20"/>
          <w:szCs w:val="20"/>
        </w:rPr>
        <w:t xml:space="preserve">Megjegyzés: </w:t>
      </w:r>
      <w:r w:rsidR="004F1725">
        <w:rPr>
          <w:sz w:val="20"/>
          <w:szCs w:val="20"/>
        </w:rPr>
        <w:t>Néhány</w:t>
      </w:r>
      <w:r w:rsidR="004F1725" w:rsidRPr="00FB2234">
        <w:rPr>
          <w:sz w:val="20"/>
          <w:szCs w:val="20"/>
        </w:rPr>
        <w:t xml:space="preserve"> </w:t>
      </w:r>
      <w:r w:rsidRPr="00FB2234">
        <w:rPr>
          <w:sz w:val="20"/>
          <w:szCs w:val="20"/>
        </w:rPr>
        <w:t xml:space="preserve">százalékos eltérés az egyes </w:t>
      </w:r>
      <w:r w:rsidR="004F1725">
        <w:rPr>
          <w:sz w:val="20"/>
          <w:szCs w:val="20"/>
        </w:rPr>
        <w:t>témakörök kérdései között előfordulhat</w:t>
      </w:r>
    </w:p>
    <w:p w:rsidR="00FB2234" w:rsidRDefault="00FB2234"/>
    <w:p w:rsidR="00A32C18" w:rsidRDefault="00A32C18" w:rsidP="00A32C18">
      <w:pPr>
        <w:pStyle w:val="Listaszerbekezds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B645EF">
        <w:t xml:space="preserve"> Jogszabály ismeretek:</w:t>
      </w:r>
    </w:p>
    <w:p w:rsidR="00375CF8" w:rsidRPr="00F81F8F" w:rsidRDefault="00375CF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1996. évi XXXI. törvény a tűz elleni védekezésről, a műszaki mentésről és a </w:t>
      </w:r>
      <w:r w:rsidRPr="00203018">
        <w:t xml:space="preserve">tűzoltóságról; </w:t>
      </w:r>
    </w:p>
    <w:p w:rsidR="00A32C18" w:rsidRPr="00F81F8F" w:rsidRDefault="00A32C18" w:rsidP="00A32C1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bCs/>
        </w:rPr>
        <w:t>az általános közigazgatási rendtartásról szóló 2016. évi CL. törvény;</w:t>
      </w:r>
    </w:p>
    <w:p w:rsidR="00855A3F" w:rsidRDefault="00855A3F" w:rsidP="00A32C1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bCs/>
        </w:rPr>
        <w:t>a közigazgatási és perrendtartásról szóló 2017. évi I.</w:t>
      </w:r>
      <w:r w:rsidR="00375CF8">
        <w:rPr>
          <w:bCs/>
        </w:rPr>
        <w:t xml:space="preserve"> </w:t>
      </w:r>
      <w:r>
        <w:rPr>
          <w:bCs/>
        </w:rPr>
        <w:t>törvény</w:t>
      </w:r>
    </w:p>
    <w:p w:rsidR="00483F25" w:rsidRPr="00F81F8F" w:rsidRDefault="00483F25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83F25">
        <w:rPr>
          <w:bCs/>
        </w:rPr>
        <w:t>az épített környezet alakításáról és védelméről szóló 1997. évi LXXVIII. törvény;</w:t>
      </w:r>
    </w:p>
    <w:p w:rsidR="00375CF8" w:rsidRPr="00F81F8F" w:rsidRDefault="00375CF8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bCs/>
        </w:rPr>
        <w:t>a tűzesetek vizsgálatára vonatkozó eljárási szabályokról szóló 480/2014. (XII.29.) Korm. rendelet</w:t>
      </w:r>
    </w:p>
    <w:p w:rsidR="00375CF8" w:rsidRDefault="00375CF8" w:rsidP="00375CF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203018">
        <w:rPr>
          <w:bCs/>
        </w:rPr>
        <w:t>a tűzvédelmi hatósági feladatokat ellátó szervezetekről, a tűzvédelmi bírságról és a tűzvédelemmel foglalkozók kötelező élet- és balesetbiztosításáról szóló 259/2011. (XII. 7.) Korm. rendelet</w:t>
      </w:r>
      <w:r>
        <w:rPr>
          <w:bCs/>
        </w:rPr>
        <w:t>;</w:t>
      </w:r>
    </w:p>
    <w:p w:rsidR="00375CF8" w:rsidRDefault="00375CF8" w:rsidP="00375CF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 tűzvédelmi hatósági eljárások általános és különös szabályairól szóló 489/2017. (XII. 29.) Korm. rendelet</w:t>
      </w:r>
    </w:p>
    <w:p w:rsidR="00375CF8" w:rsidRPr="007F5B5E" w:rsidRDefault="00375CF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E7268">
        <w:rPr>
          <w:bCs/>
        </w:rPr>
        <w:t>az Országos Tűzvédelmi Szabályzatról szóló 54/2014. (XII. 5.) BM rendelet</w:t>
      </w:r>
      <w:r>
        <w:rPr>
          <w:bCs/>
        </w:rPr>
        <w:t>;</w:t>
      </w:r>
    </w:p>
    <w:p w:rsidR="00EA66B2" w:rsidRDefault="00D104C5" w:rsidP="00EA66B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104C5">
        <w:rPr>
          <w:bCs/>
        </w:rPr>
        <w:t>az építési termék építménybe történő betervezésének és beépítésének, ennek során a teljesítmény igazolásának részletes szabályairól szóló 275/2013. (VII. 16.) Korm. rendelet;</w:t>
      </w:r>
    </w:p>
    <w:p w:rsidR="00483F25" w:rsidRPr="00F81F8F" w:rsidRDefault="00EA66B2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A66B2">
        <w:rPr>
          <w:bCs/>
        </w:rPr>
        <w:t>az országos településrendezési és építési követelményekről szóló 253/1997. (XII. 20.) Korm. rendelet;</w:t>
      </w:r>
    </w:p>
    <w:p w:rsidR="00375CF8" w:rsidRPr="00F81F8F" w:rsidRDefault="00375CF8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bCs/>
        </w:rPr>
        <w:t>234/2011. (XI.10) Korm. rendelet a katasztrófavédelemről és a hozzá kapcsolódó egyes törvények módosításáról szóló 2011. évi CXXVIII. törvény végrehajtásáról;</w:t>
      </w:r>
    </w:p>
    <w:p w:rsidR="0069784E" w:rsidRDefault="00375CF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bCs/>
        </w:rPr>
        <w:lastRenderedPageBreak/>
        <w:t>a tűzesetek vizsgálatára vonatkozó szabályokról szóló 44/2011. (XII.5) BM rendelet;</w:t>
      </w:r>
    </w:p>
    <w:p w:rsidR="00375CF8" w:rsidRDefault="00375CF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9784E">
        <w:rPr>
          <w:bCs/>
        </w:rPr>
        <w:t>a tűzvédelmi szakértői tevékenység szabályairól szóló 47/2011. (XII.15.) BM rendelet;</w:t>
      </w:r>
    </w:p>
    <w:p w:rsidR="00EA66B2" w:rsidRDefault="00F94DD0" w:rsidP="00F81F8F">
      <w:pPr>
        <w:overflowPunct w:val="0"/>
        <w:autoSpaceDE w:val="0"/>
        <w:autoSpaceDN w:val="0"/>
        <w:adjustRightInd w:val="0"/>
        <w:ind w:left="1416"/>
        <w:jc w:val="both"/>
        <w:textAlignment w:val="baseline"/>
      </w:pPr>
      <w:r w:rsidRPr="00EA66B2">
        <w:rPr>
          <w:bCs/>
        </w:rPr>
        <w:t>a hivatásos katasztrófavédelmi szerveknél, az önkormányzati és létesítményi tűzoltóságoknál, az önkéntes tűzoltó egyesületeknél, valamint az ez irányú szakágazatokban foglalkoztatottak szakmai képesítési követelményeiről és szakmai képzéseiről szóló 9/2015. (III. 25.) BM rendelet;</w:t>
      </w:r>
    </w:p>
    <w:p w:rsidR="00EA66B2" w:rsidRPr="00F81F8F" w:rsidRDefault="00F94DD0" w:rsidP="00EA66B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A66B2">
        <w:rPr>
          <w:bCs/>
        </w:rPr>
        <w:t>a tűzvédelmi szakértői tevékenység szabályairól szóló 47/2011. (XII. 15.) BM rendelet;</w:t>
      </w:r>
    </w:p>
    <w:p w:rsidR="0069784E" w:rsidRPr="00B06688" w:rsidRDefault="0069784E" w:rsidP="0069784E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83F25">
        <w:rPr>
          <w:bCs/>
        </w:rPr>
        <w:t>a tűzvédelmi megfelelőségi tanúsítvány beszerzésére vonatkozó szabályokról szóló 22/2009. (VII. 23.) ÖM rendelet;</w:t>
      </w:r>
    </w:p>
    <w:p w:rsidR="00483F25" w:rsidRDefault="00483F25" w:rsidP="00483F25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F32DA3" w:rsidRDefault="00F32DA3" w:rsidP="00CC7407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Anyagismeret:</w:t>
      </w:r>
    </w:p>
    <w:p w:rsidR="008E1D6F" w:rsidRDefault="008E1D6F" w:rsidP="000A7C60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9E6AC8">
        <w:rPr>
          <w:b/>
          <w:i/>
        </w:rPr>
        <w:t>A tűzvizsgálat alapjai</w:t>
      </w:r>
      <w:r>
        <w:t>; 2006; Bartha Iván, Fentor László (forrás:</w:t>
      </w:r>
      <w:r w:rsidRPr="00E70028">
        <w:t>http://vedelem.hu/letoltes/anyagok/-a-tuzvizsgalat-alapjai.pdf</w:t>
      </w:r>
      <w:r>
        <w:t>)</w:t>
      </w:r>
    </w:p>
    <w:p w:rsidR="008E1D6F" w:rsidRDefault="008E1D6F" w:rsidP="000A7C60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9E6AC8">
        <w:rPr>
          <w:b/>
          <w:i/>
        </w:rPr>
        <w:t>Alkalmazott tűzvizsgálat</w:t>
      </w:r>
      <w:r>
        <w:t xml:space="preserve">; 2015.; szerkesztette: Nagy László Zoltán (forrás: </w:t>
      </w:r>
      <w:hyperlink r:id="rId6" w:history="1">
        <w:r w:rsidRPr="00BC2927">
          <w:rPr>
            <w:rStyle w:val="Hiperhivatkozs"/>
          </w:rPr>
          <w:t>http://vedelem.hu/letoltes/anyagok/814-alkalmazott-tuzvizsgalat.pdf</w:t>
        </w:r>
      </w:hyperlink>
      <w:r>
        <w:t xml:space="preserve"> )</w:t>
      </w:r>
    </w:p>
    <w:p w:rsidR="00F32DA3" w:rsidRPr="00F32DA3" w:rsidRDefault="00F32DA3" w:rsidP="000A7C60">
      <w:pPr>
        <w:overflowPunct w:val="0"/>
        <w:autoSpaceDE w:val="0"/>
        <w:autoSpaceDN w:val="0"/>
        <w:adjustRightInd w:val="0"/>
        <w:ind w:left="510"/>
        <w:jc w:val="both"/>
        <w:textAlignment w:val="baseline"/>
      </w:pPr>
    </w:p>
    <w:p w:rsidR="00483F25" w:rsidRPr="00483F25" w:rsidRDefault="00483F25" w:rsidP="00CC7407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bCs/>
        </w:rPr>
        <w:t>Égéselmélet:</w:t>
      </w:r>
    </w:p>
    <w:p w:rsidR="000C7E32" w:rsidRDefault="000C7E32" w:rsidP="000C7E32">
      <w:pPr>
        <w:numPr>
          <w:ilvl w:val="1"/>
          <w:numId w:val="3"/>
        </w:numPr>
        <w:overflowPunct w:val="0"/>
        <w:autoSpaceDE w:val="0"/>
        <w:autoSpaceDN w:val="0"/>
        <w:adjustRightInd w:val="0"/>
        <w:textAlignment w:val="baseline"/>
      </w:pPr>
      <w:r w:rsidRPr="000C7E32">
        <w:t xml:space="preserve">Égés és tűzoltáselmélet, 2014.; egyetemi jegyzet, írta és szerkesztette: Dr. Restás Ágoston (forrás: </w:t>
      </w:r>
      <w:hyperlink r:id="rId7" w:history="1">
        <w:r w:rsidR="004F1725" w:rsidRPr="003A4BA0">
          <w:rPr>
            <w:rStyle w:val="Hiperhivatkozs"/>
          </w:rPr>
          <w:t>http://ludita.uni-nke.hu/repozitorium/bitstream/handle/11410/10409/Teljes%20sz%c3%b6veg%21?sequence=1&amp;isAllowed=y</w:t>
        </w:r>
      </w:hyperlink>
      <w:r w:rsidR="004F1725">
        <w:t>)</w:t>
      </w:r>
    </w:p>
    <w:p w:rsidR="00137AE3" w:rsidRDefault="00137AE3" w:rsidP="00B645EF">
      <w:pPr>
        <w:autoSpaceDE w:val="0"/>
        <w:autoSpaceDN w:val="0"/>
        <w:adjustRightInd w:val="0"/>
      </w:pPr>
    </w:p>
    <w:p w:rsidR="00B06688" w:rsidRDefault="000A7C60" w:rsidP="00483F25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Égésnyomok</w:t>
      </w:r>
      <w:r w:rsidR="00B06688" w:rsidRPr="00B645EF">
        <w:t>:</w:t>
      </w:r>
    </w:p>
    <w:p w:rsidR="000A7C60" w:rsidRDefault="000A7C60" w:rsidP="000A7C60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9E6AC8">
        <w:rPr>
          <w:b/>
          <w:i/>
        </w:rPr>
        <w:t>A tűzvizsgálat alapjai</w:t>
      </w:r>
      <w:r>
        <w:t>; 2006; Bartha Iván, Fentor László (forrás:</w:t>
      </w:r>
      <w:r w:rsidRPr="00E70028">
        <w:t>http://vedelem.hu/letoltes/anyagok/-a-tuzvizsgalat-alapjai.pdf</w:t>
      </w:r>
      <w:r>
        <w:t>)</w:t>
      </w:r>
    </w:p>
    <w:p w:rsidR="000A7C60" w:rsidRDefault="000A7C60" w:rsidP="000A7C60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9E6AC8">
        <w:rPr>
          <w:b/>
          <w:i/>
        </w:rPr>
        <w:t>Alkalmazott tűzvizsgálat</w:t>
      </w:r>
      <w:r>
        <w:t xml:space="preserve">; 2015.; szerkesztette: Nagy László Zoltán (forrás: </w:t>
      </w:r>
      <w:hyperlink r:id="rId8" w:history="1">
        <w:r w:rsidRPr="00BC2927">
          <w:rPr>
            <w:rStyle w:val="Hiperhivatkozs"/>
          </w:rPr>
          <w:t>http://vedelem.hu/letoltes/anyagok/814-alkalmazott-tuzvizsgalat.pdf</w:t>
        </w:r>
      </w:hyperlink>
      <w:r>
        <w:t xml:space="preserve"> )</w:t>
      </w:r>
    </w:p>
    <w:p w:rsidR="00B06688" w:rsidRPr="004F1725" w:rsidRDefault="00B06688" w:rsidP="00F81F8F"/>
    <w:p w:rsidR="00406798" w:rsidRPr="00855A3F" w:rsidRDefault="00406798" w:rsidP="00F81F8F"/>
    <w:p w:rsidR="00BD23B6" w:rsidRDefault="00BD23B6" w:rsidP="00BD23B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Tűzvizsgálói gyakorlat</w:t>
      </w:r>
    </w:p>
    <w:p w:rsidR="00BD23B6" w:rsidRDefault="00BD23B6" w:rsidP="00BD23B6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OKF szakmai tájékoztatók, (forrás:</w:t>
      </w:r>
      <w:r>
        <w:rPr>
          <w:rStyle w:val="Hiperhivatkozs1"/>
        </w:rPr>
        <w:t>www.katasztrofavedelem.hu</w:t>
      </w:r>
      <w:r>
        <w:t>,)</w:t>
      </w:r>
    </w:p>
    <w:p w:rsidR="00BD23B6" w:rsidRDefault="00BD23B6" w:rsidP="00BD23B6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A Védelem online, és a Védelem tudomány tűzvizsgálattal kapcsolatos cikkei, tanulmányai (forrás: </w:t>
      </w:r>
      <w:hyperlink r:id="rId9" w:history="1">
        <w:r w:rsidRPr="00BC2927">
          <w:rPr>
            <w:rStyle w:val="Hiperhivatkozs"/>
          </w:rPr>
          <w:t>http://vedelem.hu/</w:t>
        </w:r>
      </w:hyperlink>
      <w:r>
        <w:t xml:space="preserve">, </w:t>
      </w:r>
      <w:r w:rsidRPr="00E70028">
        <w:t>http://www.vedelemtudomany</w:t>
      </w:r>
      <w:r>
        <w:t>.hu)</w:t>
      </w:r>
    </w:p>
    <w:p w:rsidR="00BD23B6" w:rsidRDefault="00BD23B6" w:rsidP="00BD23B6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Tanfolyamok, továbbképzések jegyzetei</w:t>
      </w:r>
    </w:p>
    <w:p w:rsidR="00F94DD0" w:rsidRDefault="00F94DD0" w:rsidP="00B645EF">
      <w:pPr>
        <w:autoSpaceDE w:val="0"/>
        <w:autoSpaceDN w:val="0"/>
        <w:adjustRightInd w:val="0"/>
      </w:pPr>
    </w:p>
    <w:p w:rsidR="004F1725" w:rsidRPr="00BF29E8" w:rsidRDefault="004F1725" w:rsidP="00B645EF">
      <w:pPr>
        <w:autoSpaceDE w:val="0"/>
        <w:autoSpaceDN w:val="0"/>
        <w:adjustRightInd w:val="0"/>
      </w:pPr>
    </w:p>
    <w:p w:rsidR="00BD23B6" w:rsidRPr="00BD23B6" w:rsidRDefault="00BD23B6" w:rsidP="00BD23B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32"/>
        </w:rPr>
      </w:pPr>
      <w:r>
        <w:t>Kriminalisztikai ismeretek</w:t>
      </w:r>
      <w:r w:rsidRPr="00BF29E8">
        <w:rPr>
          <w:bCs/>
        </w:rPr>
        <w:t xml:space="preserve"> </w:t>
      </w:r>
    </w:p>
    <w:p w:rsidR="00BD23B6" w:rsidRDefault="00BD23B6" w:rsidP="00BD23B6">
      <w:pPr>
        <w:numPr>
          <w:ilvl w:val="1"/>
          <w:numId w:val="3"/>
        </w:numPr>
        <w:overflowPunct w:val="0"/>
        <w:autoSpaceDE w:val="0"/>
        <w:autoSpaceDN w:val="0"/>
        <w:adjustRightInd w:val="0"/>
        <w:textAlignment w:val="baseline"/>
      </w:pPr>
      <w:r w:rsidRPr="009E6AC8">
        <w:rPr>
          <w:b/>
          <w:i/>
        </w:rPr>
        <w:t>Módszertani útmutató 1. bűnügyi technikusok részére</w:t>
      </w:r>
      <w:r>
        <w:t xml:space="preserve">; 2014.; egyetemi jegyzet; </w:t>
      </w:r>
      <w:r w:rsidRPr="006B39C0">
        <w:t>Szerkesztette: dr. Gárdonyi Gergely</w:t>
      </w:r>
      <w:r>
        <w:t xml:space="preserve"> forrás: </w:t>
      </w:r>
      <w:r w:rsidRPr="006B39C0">
        <w:t>http://ludita.uni-nke.hu/repozitorium/bitstream/handle/11410/8584/Teljes%20sz%c3%b6veg%21?sequence=1&amp;isAllowed=y</w:t>
      </w:r>
    </w:p>
    <w:p w:rsidR="00BF29E8" w:rsidRDefault="00BF29E8" w:rsidP="00BD23B6">
      <w:pPr>
        <w:overflowPunct w:val="0"/>
        <w:autoSpaceDE w:val="0"/>
        <w:autoSpaceDN w:val="0"/>
        <w:adjustRightInd w:val="0"/>
        <w:ind w:left="1080"/>
        <w:jc w:val="both"/>
        <w:textAlignment w:val="baseline"/>
        <w:rPr>
          <w:sz w:val="32"/>
        </w:rPr>
      </w:pPr>
    </w:p>
    <w:p w:rsidR="00BD23B6" w:rsidRPr="00BD23B6" w:rsidRDefault="00BD23B6" w:rsidP="00BD23B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32"/>
        </w:rPr>
      </w:pPr>
      <w:r>
        <w:t>Tűzvédelmi ismeretek</w:t>
      </w:r>
    </w:p>
    <w:p w:rsidR="00BD23B6" w:rsidRDefault="00BD23B6" w:rsidP="00BD23B6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a BM OKF által közzétett szakmai vélemények/ tájékoztatók: </w:t>
      </w:r>
      <w:hyperlink r:id="rId10" w:history="1">
        <w:r w:rsidRPr="0021312F">
          <w:rPr>
            <w:rStyle w:val="Hiperhivatkozs"/>
          </w:rPr>
          <w:t>https://www.katasztrofavedelem.hu/34449/szakmai-tajekoztatok</w:t>
        </w:r>
      </w:hyperlink>
      <w:r>
        <w:t xml:space="preserve"> </w:t>
      </w:r>
    </w:p>
    <w:p w:rsidR="00BD23B6" w:rsidRDefault="00ED7805" w:rsidP="00BD23B6">
      <w:pPr>
        <w:overflowPunct w:val="0"/>
        <w:autoSpaceDE w:val="0"/>
        <w:autoSpaceDN w:val="0"/>
        <w:adjustRightInd w:val="0"/>
        <w:ind w:left="1440"/>
        <w:jc w:val="both"/>
        <w:textAlignment w:val="baseline"/>
      </w:pPr>
      <w:hyperlink r:id="rId11" w:history="1">
        <w:r w:rsidR="00BD23B6" w:rsidRPr="0021312F">
          <w:rPr>
            <w:rStyle w:val="Hiperhivatkozs"/>
          </w:rPr>
          <w:t>https://www.katasztrofavedelem.hu/123/orszagos-tuzvedelmi-szabalyzat</w:t>
        </w:r>
      </w:hyperlink>
      <w:r w:rsidR="00BD23B6">
        <w:t xml:space="preserve"> </w:t>
      </w:r>
    </w:p>
    <w:p w:rsidR="00BD23B6" w:rsidRPr="00BF29E8" w:rsidRDefault="00BD23B6" w:rsidP="00BD23B6">
      <w:pPr>
        <w:overflowPunct w:val="0"/>
        <w:autoSpaceDE w:val="0"/>
        <w:autoSpaceDN w:val="0"/>
        <w:adjustRightInd w:val="0"/>
        <w:ind w:left="510"/>
        <w:jc w:val="both"/>
        <w:textAlignment w:val="baseline"/>
        <w:rPr>
          <w:sz w:val="32"/>
        </w:rPr>
      </w:pPr>
    </w:p>
    <w:sectPr w:rsidR="00BD23B6" w:rsidRPr="00BF29E8" w:rsidSect="00DE3A86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B5906"/>
    <w:multiLevelType w:val="hybridMultilevel"/>
    <w:tmpl w:val="9AEE2D26"/>
    <w:lvl w:ilvl="0" w:tplc="62664E6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/>
        <w:sz w:val="24"/>
        <w:szCs w:val="24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E42478"/>
    <w:multiLevelType w:val="hybridMultilevel"/>
    <w:tmpl w:val="A738ACD2"/>
    <w:lvl w:ilvl="0" w:tplc="220ECE5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3116AF"/>
    <w:multiLevelType w:val="hybridMultilevel"/>
    <w:tmpl w:val="82FA38DE"/>
    <w:name w:val="WW8Num22"/>
    <w:lvl w:ilvl="0" w:tplc="58C037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6CA6E01"/>
    <w:multiLevelType w:val="hybridMultilevel"/>
    <w:tmpl w:val="FEBAEAFE"/>
    <w:lvl w:ilvl="0" w:tplc="D08654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596FF8"/>
    <w:multiLevelType w:val="hybridMultilevel"/>
    <w:tmpl w:val="47B699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7CB"/>
    <w:rsid w:val="000A7C60"/>
    <w:rsid w:val="000C7E32"/>
    <w:rsid w:val="00126859"/>
    <w:rsid w:val="00137AE3"/>
    <w:rsid w:val="00173343"/>
    <w:rsid w:val="00181D52"/>
    <w:rsid w:val="00223E44"/>
    <w:rsid w:val="002E44C2"/>
    <w:rsid w:val="003153A3"/>
    <w:rsid w:val="00364783"/>
    <w:rsid w:val="00375CF8"/>
    <w:rsid w:val="00406798"/>
    <w:rsid w:val="00425110"/>
    <w:rsid w:val="00451F2E"/>
    <w:rsid w:val="00483F25"/>
    <w:rsid w:val="004F1725"/>
    <w:rsid w:val="004F3CAF"/>
    <w:rsid w:val="00541422"/>
    <w:rsid w:val="005567CB"/>
    <w:rsid w:val="005C0963"/>
    <w:rsid w:val="0069784E"/>
    <w:rsid w:val="006E208F"/>
    <w:rsid w:val="007F260F"/>
    <w:rsid w:val="00855A3F"/>
    <w:rsid w:val="008E1D6F"/>
    <w:rsid w:val="00902204"/>
    <w:rsid w:val="0094250D"/>
    <w:rsid w:val="009D678D"/>
    <w:rsid w:val="00A32C18"/>
    <w:rsid w:val="00A579F9"/>
    <w:rsid w:val="00A61A17"/>
    <w:rsid w:val="00A84B95"/>
    <w:rsid w:val="00AA74F5"/>
    <w:rsid w:val="00AB245C"/>
    <w:rsid w:val="00AD0F9E"/>
    <w:rsid w:val="00B06688"/>
    <w:rsid w:val="00B645EF"/>
    <w:rsid w:val="00BD23B6"/>
    <w:rsid w:val="00BF29E8"/>
    <w:rsid w:val="00C248AF"/>
    <w:rsid w:val="00CA0A64"/>
    <w:rsid w:val="00CC7407"/>
    <w:rsid w:val="00CE68E2"/>
    <w:rsid w:val="00D05A49"/>
    <w:rsid w:val="00D06A47"/>
    <w:rsid w:val="00D104C5"/>
    <w:rsid w:val="00D13E4D"/>
    <w:rsid w:val="00D36B33"/>
    <w:rsid w:val="00D56328"/>
    <w:rsid w:val="00DD57BB"/>
    <w:rsid w:val="00DE3A86"/>
    <w:rsid w:val="00E10A31"/>
    <w:rsid w:val="00E10E68"/>
    <w:rsid w:val="00EA66B2"/>
    <w:rsid w:val="00ED7805"/>
    <w:rsid w:val="00F32DA3"/>
    <w:rsid w:val="00F60B8B"/>
    <w:rsid w:val="00F81F8F"/>
    <w:rsid w:val="00F94DD0"/>
    <w:rsid w:val="00FB2234"/>
    <w:rsid w:val="00FB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E0CF68-F9E5-4064-9CDB-B21E22225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23B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2E44C2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outlineLvl w:val="0"/>
    </w:pPr>
    <w:rPr>
      <w:rFonts w:asciiTheme="minorHAnsi" w:eastAsiaTheme="minorHAnsi" w:hAnsiTheme="minorHAnsi" w:cstheme="minorBidi"/>
      <w:caps/>
      <w:color w:val="FFFFFF" w:themeColor="background1"/>
      <w:spacing w:val="15"/>
      <w:sz w:val="22"/>
      <w:szCs w:val="22"/>
      <w:lang w:eastAsia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E44C2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outlineLvl w:val="1"/>
    </w:pPr>
    <w:rPr>
      <w:rFonts w:asciiTheme="minorHAnsi" w:eastAsiaTheme="minorHAnsi" w:hAnsiTheme="minorHAnsi" w:cstheme="minorBidi"/>
      <w:caps/>
      <w:spacing w:val="15"/>
      <w:sz w:val="20"/>
      <w:szCs w:val="20"/>
      <w:lang w:eastAsia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E44C2"/>
    <w:pPr>
      <w:pBdr>
        <w:top w:val="single" w:sz="6" w:space="2" w:color="5B9BD5" w:themeColor="accent1"/>
      </w:pBdr>
      <w:spacing w:before="300"/>
      <w:outlineLvl w:val="2"/>
    </w:pPr>
    <w:rPr>
      <w:rFonts w:asciiTheme="minorHAnsi" w:eastAsiaTheme="minorHAnsi" w:hAnsiTheme="minorHAnsi" w:cstheme="minorBidi"/>
      <w:caps/>
      <w:color w:val="1F4D78" w:themeColor="accent1" w:themeShade="7F"/>
      <w:spacing w:val="15"/>
      <w:sz w:val="20"/>
      <w:szCs w:val="20"/>
      <w:lang w:eastAsia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E44C2"/>
    <w:pPr>
      <w:pBdr>
        <w:top w:val="dotted" w:sz="6" w:space="2" w:color="5B9BD5" w:themeColor="accent1"/>
      </w:pBdr>
      <w:spacing w:before="200"/>
      <w:outlineLvl w:val="3"/>
    </w:pPr>
    <w:rPr>
      <w:rFonts w:asciiTheme="minorHAnsi" w:eastAsiaTheme="minorHAnsi" w:hAnsiTheme="minorHAnsi" w:cstheme="minorBidi"/>
      <w:caps/>
      <w:color w:val="2E74B5" w:themeColor="accent1" w:themeShade="BF"/>
      <w:spacing w:val="10"/>
      <w:sz w:val="20"/>
      <w:szCs w:val="20"/>
      <w:lang w:eastAsia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E44C2"/>
    <w:pPr>
      <w:pBdr>
        <w:bottom w:val="single" w:sz="6" w:space="1" w:color="5B9BD5" w:themeColor="accent1"/>
      </w:pBdr>
      <w:spacing w:before="200"/>
      <w:outlineLvl w:val="4"/>
    </w:pPr>
    <w:rPr>
      <w:rFonts w:asciiTheme="minorHAnsi" w:eastAsiaTheme="minorHAnsi" w:hAnsiTheme="minorHAnsi" w:cstheme="minorBidi"/>
      <w:caps/>
      <w:color w:val="2E74B5" w:themeColor="accent1" w:themeShade="BF"/>
      <w:spacing w:val="10"/>
      <w:sz w:val="20"/>
      <w:szCs w:val="20"/>
      <w:lang w:eastAsia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E44C2"/>
    <w:pPr>
      <w:pBdr>
        <w:bottom w:val="dotted" w:sz="6" w:space="1" w:color="5B9BD5" w:themeColor="accent1"/>
      </w:pBdr>
      <w:spacing w:before="200"/>
      <w:outlineLvl w:val="5"/>
    </w:pPr>
    <w:rPr>
      <w:rFonts w:asciiTheme="minorHAnsi" w:eastAsiaTheme="minorHAnsi" w:hAnsiTheme="minorHAnsi" w:cstheme="minorBidi"/>
      <w:caps/>
      <w:color w:val="2E74B5" w:themeColor="accent1" w:themeShade="BF"/>
      <w:spacing w:val="10"/>
      <w:sz w:val="20"/>
      <w:szCs w:val="20"/>
      <w:lang w:eastAsia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E44C2"/>
    <w:pPr>
      <w:spacing w:before="200"/>
      <w:outlineLvl w:val="6"/>
    </w:pPr>
    <w:rPr>
      <w:rFonts w:asciiTheme="minorHAnsi" w:eastAsiaTheme="minorHAnsi" w:hAnsiTheme="minorHAnsi" w:cstheme="minorBidi"/>
      <w:caps/>
      <w:color w:val="2E74B5" w:themeColor="accent1" w:themeShade="BF"/>
      <w:spacing w:val="10"/>
      <w:sz w:val="20"/>
      <w:szCs w:val="20"/>
      <w:lang w:eastAsia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E44C2"/>
    <w:pPr>
      <w:spacing w:before="200"/>
      <w:outlineLvl w:val="7"/>
    </w:pPr>
    <w:rPr>
      <w:rFonts w:asciiTheme="minorHAnsi" w:eastAsiaTheme="minorHAnsi" w:hAnsiTheme="minorHAnsi" w:cstheme="minorBidi"/>
      <w:caps/>
      <w:spacing w:val="10"/>
      <w:sz w:val="18"/>
      <w:szCs w:val="18"/>
      <w:lang w:eastAsia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E44C2"/>
    <w:pPr>
      <w:spacing w:before="200"/>
      <w:outlineLvl w:val="8"/>
    </w:pPr>
    <w:rPr>
      <w:rFonts w:asciiTheme="minorHAnsi" w:eastAsiaTheme="minorHAnsi" w:hAnsiTheme="minorHAnsi" w:cstheme="minorBidi"/>
      <w:i/>
      <w:iCs/>
      <w:caps/>
      <w:spacing w:val="10"/>
      <w:sz w:val="18"/>
      <w:szCs w:val="18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E44C2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E44C2"/>
    <w:rPr>
      <w:caps/>
      <w:spacing w:val="15"/>
      <w:shd w:val="clear" w:color="auto" w:fill="DEEAF6" w:themeFill="accent1" w:themeFillTint="33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E44C2"/>
    <w:rPr>
      <w:caps/>
      <w:color w:val="1F4D78" w:themeColor="accent1" w:themeShade="7F"/>
      <w:spacing w:val="15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E44C2"/>
    <w:rPr>
      <w:caps/>
      <w:color w:val="2E74B5" w:themeColor="accent1" w:themeShade="BF"/>
      <w:spacing w:val="10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E44C2"/>
    <w:rPr>
      <w:caps/>
      <w:color w:val="2E74B5" w:themeColor="accent1" w:themeShade="BF"/>
      <w:spacing w:val="1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E44C2"/>
    <w:rPr>
      <w:caps/>
      <w:color w:val="2E74B5" w:themeColor="accent1" w:themeShade="BF"/>
      <w:spacing w:val="1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E44C2"/>
    <w:rPr>
      <w:caps/>
      <w:color w:val="2E74B5" w:themeColor="accent1" w:themeShade="BF"/>
      <w:spacing w:val="10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E44C2"/>
    <w:rPr>
      <w:caps/>
      <w:spacing w:val="10"/>
      <w:sz w:val="18"/>
      <w:szCs w:val="1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E44C2"/>
    <w:rPr>
      <w:i/>
      <w:iCs/>
      <w:caps/>
      <w:spacing w:val="10"/>
      <w:sz w:val="18"/>
      <w:szCs w:val="18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2E44C2"/>
    <w:rPr>
      <w:rFonts w:eastAsiaTheme="minorHAnsi" w:cstheme="minorBidi"/>
      <w:b/>
      <w:bCs/>
      <w:color w:val="2E74B5" w:themeColor="accent1" w:themeShade="BF"/>
      <w:sz w:val="16"/>
      <w:szCs w:val="16"/>
      <w:lang w:eastAsia="en-US"/>
    </w:rPr>
  </w:style>
  <w:style w:type="paragraph" w:styleId="Cm">
    <w:name w:val="Title"/>
    <w:basedOn w:val="Norml"/>
    <w:next w:val="Norml"/>
    <w:link w:val="CmChar"/>
    <w:uiPriority w:val="10"/>
    <w:qFormat/>
    <w:rsid w:val="002E44C2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  <w:lang w:eastAsia="en-US"/>
    </w:rPr>
  </w:style>
  <w:style w:type="character" w:customStyle="1" w:styleId="CmChar">
    <w:name w:val="Cím Char"/>
    <w:basedOn w:val="Bekezdsalapbettpusa"/>
    <w:link w:val="Cm"/>
    <w:uiPriority w:val="10"/>
    <w:rsid w:val="002E44C2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2E44C2"/>
    <w:pPr>
      <w:spacing w:after="500"/>
    </w:pPr>
    <w:rPr>
      <w:rFonts w:asciiTheme="minorHAnsi" w:eastAsiaTheme="minorHAnsi" w:hAnsiTheme="minorHAnsi" w:cstheme="minorBidi"/>
      <w:caps/>
      <w:color w:val="595959" w:themeColor="text1" w:themeTint="A6"/>
      <w:spacing w:val="10"/>
      <w:sz w:val="21"/>
      <w:szCs w:val="21"/>
      <w:lang w:eastAsia="en-US"/>
    </w:rPr>
  </w:style>
  <w:style w:type="character" w:customStyle="1" w:styleId="AlcmChar">
    <w:name w:val="Alcím Char"/>
    <w:basedOn w:val="Bekezdsalapbettpusa"/>
    <w:link w:val="Alcm"/>
    <w:uiPriority w:val="11"/>
    <w:rsid w:val="002E44C2"/>
    <w:rPr>
      <w:caps/>
      <w:color w:val="595959" w:themeColor="text1" w:themeTint="A6"/>
      <w:spacing w:val="10"/>
      <w:sz w:val="21"/>
      <w:szCs w:val="21"/>
    </w:rPr>
  </w:style>
  <w:style w:type="character" w:styleId="Kiemels2">
    <w:name w:val="Strong"/>
    <w:uiPriority w:val="22"/>
    <w:qFormat/>
    <w:rsid w:val="002E44C2"/>
    <w:rPr>
      <w:b/>
      <w:bCs/>
    </w:rPr>
  </w:style>
  <w:style w:type="character" w:styleId="Kiemels">
    <w:name w:val="Emphasis"/>
    <w:uiPriority w:val="20"/>
    <w:qFormat/>
    <w:rsid w:val="002E44C2"/>
    <w:rPr>
      <w:caps/>
      <w:color w:val="1F4D78" w:themeColor="accent1" w:themeShade="7F"/>
      <w:spacing w:val="5"/>
    </w:rPr>
  </w:style>
  <w:style w:type="paragraph" w:styleId="Nincstrkz">
    <w:name w:val="No Spacing"/>
    <w:uiPriority w:val="1"/>
    <w:qFormat/>
    <w:rsid w:val="002E44C2"/>
  </w:style>
  <w:style w:type="paragraph" w:styleId="Listaszerbekezds">
    <w:name w:val="List Paragraph"/>
    <w:basedOn w:val="Norml"/>
    <w:uiPriority w:val="34"/>
    <w:qFormat/>
    <w:rsid w:val="002E44C2"/>
    <w:pPr>
      <w:ind w:left="720"/>
      <w:contextualSpacing/>
    </w:pPr>
    <w:rPr>
      <w:rFonts w:eastAsiaTheme="minorHAnsi" w:cstheme="minorBidi"/>
      <w:szCs w:val="20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2E44C2"/>
    <w:rPr>
      <w:rFonts w:asciiTheme="minorHAnsi" w:eastAsiaTheme="minorHAnsi" w:hAnsiTheme="minorHAnsi" w:cstheme="minorBidi"/>
      <w:i/>
      <w:iCs/>
      <w:lang w:eastAsia="en-US"/>
    </w:rPr>
  </w:style>
  <w:style w:type="character" w:customStyle="1" w:styleId="IdzetChar">
    <w:name w:val="Idézet Char"/>
    <w:basedOn w:val="Bekezdsalapbettpusa"/>
    <w:link w:val="Idzet"/>
    <w:uiPriority w:val="29"/>
    <w:rsid w:val="002E44C2"/>
    <w:rPr>
      <w:i/>
      <w:iCs/>
      <w:sz w:val="24"/>
      <w:szCs w:val="24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E44C2"/>
    <w:pPr>
      <w:spacing w:before="240" w:after="240"/>
      <w:ind w:left="1080" w:right="1080"/>
      <w:jc w:val="center"/>
    </w:pPr>
    <w:rPr>
      <w:rFonts w:asciiTheme="minorHAnsi" w:eastAsiaTheme="minorHAnsi" w:hAnsiTheme="minorHAnsi" w:cstheme="minorBidi"/>
      <w:color w:val="5B9BD5" w:themeColor="accent1"/>
      <w:lang w:eastAsia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E44C2"/>
    <w:rPr>
      <w:color w:val="5B9BD5" w:themeColor="accent1"/>
      <w:sz w:val="24"/>
      <w:szCs w:val="24"/>
    </w:rPr>
  </w:style>
  <w:style w:type="character" w:styleId="Finomkiemels">
    <w:name w:val="Subtle Emphasis"/>
    <w:uiPriority w:val="19"/>
    <w:qFormat/>
    <w:rsid w:val="002E44C2"/>
    <w:rPr>
      <w:i/>
      <w:iCs/>
      <w:color w:val="1F4D78" w:themeColor="accent1" w:themeShade="7F"/>
    </w:rPr>
  </w:style>
  <w:style w:type="character" w:styleId="Erskiemels">
    <w:name w:val="Intense Emphasis"/>
    <w:uiPriority w:val="21"/>
    <w:qFormat/>
    <w:rsid w:val="002E44C2"/>
    <w:rPr>
      <w:b/>
      <w:bCs/>
      <w:caps/>
      <w:color w:val="1F4D78" w:themeColor="accent1" w:themeShade="7F"/>
      <w:spacing w:val="10"/>
    </w:rPr>
  </w:style>
  <w:style w:type="character" w:styleId="Finomhivatkozs">
    <w:name w:val="Subtle Reference"/>
    <w:uiPriority w:val="31"/>
    <w:qFormat/>
    <w:rsid w:val="002E44C2"/>
    <w:rPr>
      <w:b/>
      <w:bCs/>
      <w:color w:val="5B9BD5" w:themeColor="accent1"/>
    </w:rPr>
  </w:style>
  <w:style w:type="character" w:styleId="Ershivatkozs">
    <w:name w:val="Intense Reference"/>
    <w:uiPriority w:val="32"/>
    <w:qFormat/>
    <w:rsid w:val="002E44C2"/>
    <w:rPr>
      <w:b/>
      <w:bCs/>
      <w:i/>
      <w:iCs/>
      <w:caps/>
      <w:color w:val="5B9BD5" w:themeColor="accent1"/>
    </w:rPr>
  </w:style>
  <w:style w:type="character" w:styleId="Knyvcme">
    <w:name w:val="Book Title"/>
    <w:uiPriority w:val="33"/>
    <w:qFormat/>
    <w:rsid w:val="002E44C2"/>
    <w:rPr>
      <w:b/>
      <w:bCs/>
      <w:i/>
      <w:iCs/>
      <w:spacing w:val="0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2E44C2"/>
    <w:pPr>
      <w:outlineLvl w:val="9"/>
    </w:pPr>
    <w:rPr>
      <w:rFonts w:ascii="Times New Roman" w:hAnsi="Times New Roman"/>
    </w:rPr>
  </w:style>
  <w:style w:type="table" w:styleId="Rcsostblzat">
    <w:name w:val="Table Grid"/>
    <w:basedOn w:val="Normltblzat"/>
    <w:uiPriority w:val="39"/>
    <w:rsid w:val="005567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B06688"/>
    <w:rPr>
      <w:strike w:val="0"/>
      <w:dstrike w:val="0"/>
      <w:color w:val="007AC3"/>
      <w:u w:val="none"/>
      <w:effect w:val="none"/>
      <w:shd w:val="clear" w:color="auto" w:fill="auto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F172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F1725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Hiperhivatkozs1">
    <w:name w:val="Hiperhivatkozás1"/>
    <w:rsid w:val="00BD23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5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22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75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05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84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2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1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73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05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edelem.hu/letoltes/anyagok/814-alkalmazott-tuzvizsgalat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ludita.uni-nke.hu/repozitorium/bitstream/handle/11410/10409/Teljes%20sz%c3%b6veg%21?sequence=1&amp;isAllowed=y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vedelem.hu/letoltes/anyagok/814-alkalmazott-tuzvizsgalat.pdf" TargetMode="External"/><Relationship Id="rId11" Type="http://schemas.openxmlformats.org/officeDocument/2006/relationships/hyperlink" Target="https://www.katasztrofavedelem.hu/123/orszagos-tuzvedelmi-szabalyza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katasztrofavedelem.hu/34449/szakmai-tajekoztato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edelem.hu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3B0B5-FDFF-4776-8EA2-D49DA42B4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620</Words>
  <Characters>4279</Characters>
  <Application>Microsoft Office Word</Application>
  <DocSecurity>4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Fentor László</dc:creator>
  <cp:keywords/>
  <dc:description/>
  <cp:lastModifiedBy>Barta-Vámos László</cp:lastModifiedBy>
  <cp:revision>2</cp:revision>
  <cp:lastPrinted>2020-11-04T07:22:00Z</cp:lastPrinted>
  <dcterms:created xsi:type="dcterms:W3CDTF">2021-10-19T11:13:00Z</dcterms:created>
  <dcterms:modified xsi:type="dcterms:W3CDTF">2021-10-19T11:13:00Z</dcterms:modified>
</cp:coreProperties>
</file>